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220B" w14:textId="0B6FEFFB" w:rsidR="002A652A" w:rsidRPr="00DF7CB4" w:rsidRDefault="00000000" w:rsidP="001A3841">
      <w:pPr>
        <w:jc w:val="center"/>
        <w:rPr>
          <w:sz w:val="28"/>
          <w:szCs w:val="28"/>
        </w:rPr>
      </w:pPr>
      <w:r w:rsidRPr="00DF7CB4">
        <w:rPr>
          <w:sz w:val="28"/>
          <w:szCs w:val="28"/>
        </w:rPr>
        <w:t xml:space="preserve">Čestné prohlášení v rámci projektu Komunální </w:t>
      </w:r>
      <w:r w:rsidR="00831B67" w:rsidRPr="00DF7CB4">
        <w:rPr>
          <w:sz w:val="28"/>
          <w:szCs w:val="28"/>
        </w:rPr>
        <w:t xml:space="preserve">FVE – </w:t>
      </w:r>
      <w:r w:rsidR="00DF7CB4" w:rsidRPr="00DF7CB4">
        <w:rPr>
          <w:sz w:val="28"/>
          <w:szCs w:val="28"/>
          <w:highlight w:val="cyan"/>
        </w:rPr>
        <w:t>[bude doplněno před uzavřením smlouvy]</w:t>
      </w:r>
    </w:p>
    <w:p w14:paraId="00000002" w14:textId="78E8C588" w:rsidR="00BD232E" w:rsidRPr="00DF7CB4" w:rsidRDefault="00000000" w:rsidP="00831B67">
      <w:pPr>
        <w:jc w:val="both"/>
      </w:pPr>
      <w:bookmarkStart w:id="0" w:name="_heading=h.gjdgxs" w:colFirst="0" w:colLast="0"/>
      <w:bookmarkEnd w:id="0"/>
      <w:r w:rsidRPr="00DF7CB4">
        <w:t xml:space="preserve">Čestné prohlášení se vydává za účelem žádosti o dotaci v rámci výzvy </w:t>
      </w:r>
      <w:r w:rsidR="00831B67" w:rsidRPr="00DF7CB4">
        <w:t>RES+ č. 3/2022 – Komunální FVE pro malé obce.</w:t>
      </w:r>
    </w:p>
    <w:p w14:paraId="00000004" w14:textId="0519EC85" w:rsidR="00BD232E" w:rsidRPr="00DF7CB4" w:rsidRDefault="00000000" w:rsidP="00831B67">
      <w:pPr>
        <w:jc w:val="both"/>
      </w:pPr>
      <w:bookmarkStart w:id="1" w:name="_heading=h.30j0zll" w:colFirst="0" w:colLast="0"/>
      <w:bookmarkEnd w:id="1"/>
      <w:r w:rsidRPr="00DF7CB4">
        <w:t xml:space="preserve">Já, </w:t>
      </w:r>
      <w:r w:rsidR="003B7B13" w:rsidRPr="00DF7CB4">
        <w:rPr>
          <w:highlight w:val="cyan"/>
        </w:rPr>
        <w:t xml:space="preserve">[identifikace </w:t>
      </w:r>
      <w:r w:rsidR="003B7B13">
        <w:rPr>
          <w:highlight w:val="cyan"/>
        </w:rPr>
        <w:t xml:space="preserve">statutárního zástupce </w:t>
      </w:r>
      <w:r w:rsidR="003B7B13" w:rsidRPr="00DF7CB4">
        <w:rPr>
          <w:highlight w:val="cyan"/>
        </w:rPr>
        <w:t>zhotovitele - bude doplněno před uzavřením smlouvy]</w:t>
      </w:r>
      <w:r w:rsidR="003B7B13">
        <w:t xml:space="preserve"> zástupce společnosti </w:t>
      </w:r>
      <w:r w:rsidR="003B7B13" w:rsidRPr="00DF7CB4">
        <w:rPr>
          <w:highlight w:val="cyan"/>
        </w:rPr>
        <w:t>[identifikace zhotovitele - bude doplněno před uzavřením smlouvy]</w:t>
      </w:r>
      <w:r w:rsidR="00831B67" w:rsidRPr="00DF7CB4">
        <w:t xml:space="preserve"> </w:t>
      </w:r>
      <w:r w:rsidRPr="00DF7CB4">
        <w:t xml:space="preserve">tímto čestně prohlašuji, že </w:t>
      </w:r>
      <w:r w:rsidR="00831B67" w:rsidRPr="00DF7CB4">
        <w:t xml:space="preserve">v rámci realizace projektu „Komunální FVE – </w:t>
      </w:r>
      <w:r w:rsidR="00DF7CB4" w:rsidRPr="00DF7CB4">
        <w:rPr>
          <w:highlight w:val="cyan"/>
        </w:rPr>
        <w:t>[bude doplněno před uzavřením smlouvy]</w:t>
      </w:r>
      <w:r w:rsidR="00831B67" w:rsidRPr="00DF7CB4">
        <w:t xml:space="preserve">“ </w:t>
      </w:r>
      <w:r w:rsidR="00E5346E" w:rsidRPr="00DF7CB4">
        <w:t>Splňuji následující podmínky stanovené výzvou MODF – RES+ č. 3/2022:</w:t>
      </w:r>
    </w:p>
    <w:p w14:paraId="38F3EE38" w14:textId="48B378AE" w:rsidR="00E5346E" w:rsidRPr="00DF7CB4" w:rsidRDefault="00E5346E" w:rsidP="00E5346E">
      <w:pPr>
        <w:pStyle w:val="Odstavecseseznamem"/>
        <w:numPr>
          <w:ilvl w:val="0"/>
          <w:numId w:val="1"/>
        </w:numPr>
        <w:jc w:val="both"/>
      </w:pPr>
      <w:r w:rsidRPr="00DF7CB4">
        <w:t>Fotovoltaické moduly splňující normy IEC 61215, IEC 61730</w:t>
      </w:r>
    </w:p>
    <w:p w14:paraId="5F06F12F" w14:textId="666F9A69" w:rsidR="00E5346E" w:rsidRPr="00DF7CB4" w:rsidRDefault="00E5346E" w:rsidP="00E5346E">
      <w:pPr>
        <w:pStyle w:val="Odstavecseseznamem"/>
        <w:numPr>
          <w:ilvl w:val="0"/>
          <w:numId w:val="1"/>
        </w:numPr>
        <w:jc w:val="both"/>
      </w:pPr>
      <w:r w:rsidRPr="00DF7CB4">
        <w:t>Měniče splňující normy IEC 62116, normy řady IEC 61000 dle typu</w:t>
      </w:r>
    </w:p>
    <w:p w14:paraId="6DC7C067" w14:textId="1D0CA949" w:rsidR="00E5346E" w:rsidRPr="00DF7CB4" w:rsidRDefault="00E5346E" w:rsidP="00E5346E">
      <w:pPr>
        <w:pStyle w:val="Odstavecseseznamem"/>
        <w:numPr>
          <w:ilvl w:val="0"/>
          <w:numId w:val="1"/>
        </w:numPr>
        <w:jc w:val="both"/>
      </w:pPr>
      <w:r w:rsidRPr="00DF7CB4">
        <w:t>Elektrické akumulátory dle typu akumulátoru (pro nejčastější lithiové akumulátory IEC 63056:2020 nebo IEC 62619/2017 nebo IEC 62620/2014)</w:t>
      </w:r>
    </w:p>
    <w:p w14:paraId="3354F473" w14:textId="5E8785E2" w:rsidR="00E5346E" w:rsidRPr="00DF7CB4" w:rsidRDefault="00E5346E" w:rsidP="00E5346E">
      <w:pPr>
        <w:pStyle w:val="Odstavecseseznamem"/>
        <w:numPr>
          <w:ilvl w:val="0"/>
          <w:numId w:val="1"/>
        </w:numPr>
        <w:jc w:val="both"/>
      </w:pPr>
      <w:r w:rsidRPr="00DF7CB4">
        <w:t>FVE musí dosahovat minimálně níže uvedených účinností při standardních testovacích podmínkách:</w:t>
      </w:r>
    </w:p>
    <w:p w14:paraId="22AAD74D" w14:textId="1CA1CC3E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 xml:space="preserve">19,0 % pro </w:t>
      </w:r>
      <w:proofErr w:type="spellStart"/>
      <w:r w:rsidRPr="00DF7CB4">
        <w:t>monofaciální</w:t>
      </w:r>
      <w:proofErr w:type="spellEnd"/>
      <w:r w:rsidRPr="00DF7CB4">
        <w:t xml:space="preserve"> moduly z monokrystalického křemíku</w:t>
      </w:r>
    </w:p>
    <w:p w14:paraId="58800261" w14:textId="453D3A01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 xml:space="preserve">18,0 % pro </w:t>
      </w:r>
      <w:proofErr w:type="spellStart"/>
      <w:r w:rsidRPr="00DF7CB4">
        <w:t>monofaciální</w:t>
      </w:r>
      <w:proofErr w:type="spellEnd"/>
      <w:r w:rsidRPr="00DF7CB4">
        <w:t xml:space="preserve"> moduly z </w:t>
      </w:r>
      <w:proofErr w:type="spellStart"/>
      <w:r w:rsidRPr="00DF7CB4">
        <w:t>multikrystalického</w:t>
      </w:r>
      <w:proofErr w:type="spellEnd"/>
      <w:r w:rsidRPr="00DF7CB4">
        <w:t xml:space="preserve"> křemíku</w:t>
      </w:r>
    </w:p>
    <w:p w14:paraId="5939AE4A" w14:textId="02CA265A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>19,0 % pro bifaciální moduly při 0 % bifaciálním zisku</w:t>
      </w:r>
    </w:p>
    <w:p w14:paraId="073963DE" w14:textId="32908B46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>12,0 % pro tenkovrstvé moduly</w:t>
      </w:r>
    </w:p>
    <w:p w14:paraId="051FAEB4" w14:textId="0E8F9091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>Nestanoveno pro speciální výrobky a použití</w:t>
      </w:r>
    </w:p>
    <w:p w14:paraId="1F1AF40F" w14:textId="3B63770E" w:rsidR="00E5346E" w:rsidRPr="00DF7CB4" w:rsidRDefault="00E5346E" w:rsidP="00E5346E">
      <w:pPr>
        <w:pStyle w:val="Odstavecseseznamem"/>
        <w:numPr>
          <w:ilvl w:val="0"/>
          <w:numId w:val="1"/>
        </w:numPr>
        <w:jc w:val="both"/>
      </w:pPr>
      <w:r w:rsidRPr="00DF7CB4">
        <w:t>Měniče musí dosahovat níže uvedené účinnosti:</w:t>
      </w:r>
    </w:p>
    <w:p w14:paraId="7DAF0F19" w14:textId="1FB986D3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>97,0 % (Euro účinnost)</w:t>
      </w:r>
    </w:p>
    <w:p w14:paraId="68D5E4D2" w14:textId="50B9D5EC" w:rsidR="00E5346E" w:rsidRPr="00DF7CB4" w:rsidRDefault="00E5346E" w:rsidP="00E5346E">
      <w:pPr>
        <w:pStyle w:val="Odstavecseseznamem"/>
        <w:numPr>
          <w:ilvl w:val="0"/>
          <w:numId w:val="1"/>
        </w:numPr>
        <w:jc w:val="both"/>
      </w:pPr>
      <w:r w:rsidRPr="00DF7CB4">
        <w:t>Při realizaci bylo využito výhradně komponentů s garantovanou životností:</w:t>
      </w:r>
    </w:p>
    <w:p w14:paraId="266F693E" w14:textId="2330B93C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>FVE min. 20letá lineární záruka na výkon s max. poklesem na 80 % původního výkonu garantovanou výrobcem</w:t>
      </w:r>
    </w:p>
    <w:p w14:paraId="502822A5" w14:textId="50D88AA1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>FVE min. 10letá produktová záruka garantovaná výrobcem</w:t>
      </w:r>
    </w:p>
    <w:p w14:paraId="42B2D261" w14:textId="2A9CF4B0" w:rsidR="00E5346E" w:rsidRPr="00DF7CB4" w:rsidRDefault="00E5346E" w:rsidP="00E5346E">
      <w:pPr>
        <w:pStyle w:val="Odstavecseseznamem"/>
        <w:numPr>
          <w:ilvl w:val="1"/>
          <w:numId w:val="1"/>
        </w:numPr>
        <w:jc w:val="both"/>
      </w:pPr>
      <w:r w:rsidRPr="00DF7CB4">
        <w:t xml:space="preserve">Záruka výrobce či dodavatele na měniče trvající min. 10 let na jeho bezodkladnou výměnu či adekvátní </w:t>
      </w:r>
      <w:r w:rsidR="001A3841" w:rsidRPr="00DF7CB4">
        <w:t>náhradu v případě poruchy či poškození</w:t>
      </w:r>
    </w:p>
    <w:p w14:paraId="27C50091" w14:textId="52EE2340" w:rsidR="001A3841" w:rsidRPr="00DF7CB4" w:rsidRDefault="001A3841" w:rsidP="00E5346E">
      <w:pPr>
        <w:pStyle w:val="Odstavecseseznamem"/>
        <w:numPr>
          <w:ilvl w:val="1"/>
          <w:numId w:val="1"/>
        </w:numPr>
        <w:jc w:val="both"/>
      </w:pPr>
      <w:r w:rsidRPr="00DF7CB4">
        <w:t>Záruka na elektrické akumulátory s max. poklesem na 60% nominální kapacity po 10 letech provozu, nebo dosažení min. 2 400násobku nominální energie (</w:t>
      </w:r>
      <w:proofErr w:type="spellStart"/>
      <w:r w:rsidRPr="00DF7CB4">
        <w:t>Energy</w:t>
      </w:r>
      <w:proofErr w:type="spellEnd"/>
      <w:r w:rsidRPr="00DF7CB4">
        <w:t xml:space="preserve"> </w:t>
      </w:r>
      <w:proofErr w:type="spellStart"/>
      <w:r w:rsidRPr="00DF7CB4">
        <w:t>Throughput</w:t>
      </w:r>
      <w:proofErr w:type="spellEnd"/>
      <w:r w:rsidRPr="00DF7CB4">
        <w:t>)</w:t>
      </w:r>
    </w:p>
    <w:p w14:paraId="563C0532" w14:textId="1817294E" w:rsidR="001A3841" w:rsidRPr="00DF7CB4" w:rsidRDefault="001A3841" w:rsidP="001A3841">
      <w:pPr>
        <w:pStyle w:val="Odstavecseseznamem"/>
        <w:numPr>
          <w:ilvl w:val="0"/>
          <w:numId w:val="1"/>
        </w:numPr>
        <w:jc w:val="both"/>
      </w:pPr>
      <w:r w:rsidRPr="00DF7CB4">
        <w:t>Instalované měniče musí být vybaveny plynulou, nebo diskrétní řiditelností dodávaného výkonu do elektrizační soustavy umožňující změnu dodávaného výkonu výrobny</w:t>
      </w:r>
    </w:p>
    <w:p w14:paraId="2B4B0F74" w14:textId="30D6696E" w:rsidR="001A3841" w:rsidRPr="00DF7CB4" w:rsidRDefault="001A3841" w:rsidP="001A3841">
      <w:pPr>
        <w:pStyle w:val="Odstavecseseznamem"/>
        <w:numPr>
          <w:ilvl w:val="0"/>
          <w:numId w:val="1"/>
        </w:numPr>
        <w:jc w:val="both"/>
      </w:pPr>
      <w:r w:rsidRPr="00DF7CB4">
        <w:t>Podpora na vybudování systému bateriové akumulace vyrobené elektřiny může být poskytnuta pouze pro systémy s využitelnou kapacitou v rozsahu min. 20 % a max. 100 % z teoretické hodinové výroby při instalovaném špičkovém výkonu FVE.</w:t>
      </w:r>
    </w:p>
    <w:p w14:paraId="46FC026D" w14:textId="3E24B881" w:rsidR="001A3841" w:rsidRPr="00DF7CB4" w:rsidRDefault="001A3841" w:rsidP="001A3841">
      <w:pPr>
        <w:pStyle w:val="Odstavecseseznamem"/>
        <w:numPr>
          <w:ilvl w:val="0"/>
          <w:numId w:val="1"/>
        </w:numPr>
        <w:jc w:val="both"/>
      </w:pPr>
      <w:r w:rsidRPr="00DF7CB4">
        <w:t xml:space="preserve">V případě bateriové akumulace s technologií na bázi olova nebo </w:t>
      </w:r>
      <w:proofErr w:type="spellStart"/>
      <w:r w:rsidRPr="00DF7CB4">
        <w:t>NiCd</w:t>
      </w:r>
      <w:proofErr w:type="spellEnd"/>
      <w:r w:rsidRPr="00DF7CB4">
        <w:t xml:space="preserve"> jsou podporovány pouze baterie se zajištěnou následnou recyklací (uzavřený cyklus). Účinnost recyklace konkrétního zpracovatele musí být podložena výpočtem dle nařízení EU č. 493/2012, přičemž účinnost recyklace musí být v souladu se směrnicí Evropského parlamentu a rady č. 2006/66/ES pro:</w:t>
      </w:r>
    </w:p>
    <w:p w14:paraId="68763A4C" w14:textId="06FE390A" w:rsidR="001A3841" w:rsidRPr="00DF7CB4" w:rsidRDefault="001A3841" w:rsidP="001A3841">
      <w:pPr>
        <w:pStyle w:val="Odstavecseseznamem"/>
        <w:numPr>
          <w:ilvl w:val="1"/>
          <w:numId w:val="1"/>
        </w:numPr>
        <w:jc w:val="both"/>
      </w:pPr>
      <w:proofErr w:type="spellStart"/>
      <w:r w:rsidRPr="00DF7CB4">
        <w:t>NiCd</w:t>
      </w:r>
      <w:proofErr w:type="spellEnd"/>
      <w:r w:rsidRPr="00DF7CB4">
        <w:t xml:space="preserve"> baterie min. 75 % celkově a 99 % pro Cd,</w:t>
      </w:r>
    </w:p>
    <w:p w14:paraId="3E2DDAD9" w14:textId="538E4099" w:rsidR="001A3841" w:rsidRPr="00DF7CB4" w:rsidRDefault="001A3841" w:rsidP="001A3841">
      <w:pPr>
        <w:pStyle w:val="Odstavecseseznamem"/>
        <w:numPr>
          <w:ilvl w:val="1"/>
          <w:numId w:val="1"/>
        </w:numPr>
        <w:jc w:val="both"/>
      </w:pPr>
      <w:r w:rsidRPr="00DF7CB4">
        <w:t xml:space="preserve">Baterie na bázi olova min 65 % celkově a 97 % pro </w:t>
      </w:r>
      <w:proofErr w:type="spellStart"/>
      <w:r w:rsidRPr="00DF7CB4">
        <w:t>Pb</w:t>
      </w:r>
      <w:proofErr w:type="spellEnd"/>
      <w:r w:rsidRPr="00DF7CB4">
        <w:t>,</w:t>
      </w:r>
    </w:p>
    <w:p w14:paraId="00000008" w14:textId="7387B822" w:rsidR="00BD232E" w:rsidRPr="00DF7CB4" w:rsidRDefault="001A3841" w:rsidP="001A3841">
      <w:pPr>
        <w:pStyle w:val="Odstavecseseznamem"/>
        <w:numPr>
          <w:ilvl w:val="1"/>
          <w:numId w:val="1"/>
        </w:numPr>
        <w:jc w:val="both"/>
      </w:pPr>
      <w:r w:rsidRPr="00DF7CB4">
        <w:t xml:space="preserve">Ostatní technologie (např. lithium, </w:t>
      </w:r>
      <w:proofErr w:type="spellStart"/>
      <w:r w:rsidRPr="00DF7CB4">
        <w:t>NiMH</w:t>
      </w:r>
      <w:proofErr w:type="spellEnd"/>
      <w:r w:rsidRPr="00DF7CB4">
        <w:t>) není prokázání způsobu následné likvidace bateriového systému požadováno.</w:t>
      </w:r>
    </w:p>
    <w:p w14:paraId="3F1ADD15" w14:textId="76DE9076" w:rsidR="001A3841" w:rsidRPr="00DF7CB4" w:rsidRDefault="00DF7CB4" w:rsidP="001A3841">
      <w:r w:rsidRPr="00DF7CB4">
        <w:rPr>
          <w:highlight w:val="cyan"/>
        </w:rPr>
        <w:t>[</w:t>
      </w:r>
      <w:r>
        <w:rPr>
          <w:highlight w:val="cyan"/>
        </w:rPr>
        <w:t xml:space="preserve">podpis statutárního zástupce - </w:t>
      </w:r>
      <w:r w:rsidRPr="00DF7CB4">
        <w:rPr>
          <w:highlight w:val="cyan"/>
        </w:rPr>
        <w:t>bude doplněno před uzavřením smlouvy]</w:t>
      </w:r>
    </w:p>
    <w:sectPr w:rsidR="001A3841" w:rsidRPr="00DF7CB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5521C"/>
    <w:multiLevelType w:val="hybridMultilevel"/>
    <w:tmpl w:val="6E0E8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1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2E"/>
    <w:rsid w:val="000A7510"/>
    <w:rsid w:val="001A3841"/>
    <w:rsid w:val="002A652A"/>
    <w:rsid w:val="003B7B13"/>
    <w:rsid w:val="004614D7"/>
    <w:rsid w:val="00831B67"/>
    <w:rsid w:val="00A52977"/>
    <w:rsid w:val="00BC17C4"/>
    <w:rsid w:val="00BD232E"/>
    <w:rsid w:val="00DF7CB4"/>
    <w:rsid w:val="00E5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8998"/>
  <w15:docId w15:val="{C271E5CF-F691-6C44-9792-CB9024EC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stavecseseznamem">
    <w:name w:val="List Paragraph"/>
    <w:basedOn w:val="Normln"/>
    <w:uiPriority w:val="34"/>
    <w:qFormat/>
    <w:rsid w:val="00E53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sC7XX7y/IyQ0DUVXgsua5wzxzA==">CgMxLjAyCGguZ2pkZ3hzMgloLjMwajB6bGw4AHIhMWVqZWJCbHdjRDRvZWtBb3VuYzQxMnd0NlBzU09FQmZI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Dotace bez starostí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Vilém Maur</dc:creator>
  <cp:lastModifiedBy>J B</cp:lastModifiedBy>
  <cp:revision>6</cp:revision>
  <dcterms:created xsi:type="dcterms:W3CDTF">2024-01-26T10:30:00Z</dcterms:created>
  <dcterms:modified xsi:type="dcterms:W3CDTF">2024-01-29T10:06:00Z</dcterms:modified>
</cp:coreProperties>
</file>